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BD588A" w:rsidP="00BD588A">
      <w:pPr>
        <w:tabs>
          <w:tab w:val="left" w:pos="935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D588A" w:rsidRDefault="00BD588A" w:rsidP="00BD588A">
      <w:pPr>
        <w:tabs>
          <w:tab w:val="left" w:pos="935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ДУМА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КАТАРБЕЙСКОГО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Катарбей, ул. Советская, 84                                                  тел.: 8(395-57) 3-51-45</w:t>
      </w:r>
    </w:p>
    <w:p w:rsidR="00BD588A" w:rsidRDefault="00BD588A" w:rsidP="00BD58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  апреля   2017</w:t>
      </w:r>
      <w:r w:rsidR="00815F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                      №138                        </w:t>
      </w:r>
    </w:p>
    <w:p w:rsidR="00BD588A" w:rsidRDefault="00BD588A" w:rsidP="00BD588A">
      <w:pPr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и дополнений 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Катарбейского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образования»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D588A" w:rsidRDefault="00BD588A" w:rsidP="00BD588A">
      <w:pPr>
        <w:shd w:val="clear" w:color="auto" w:fill="FFFFFF"/>
        <w:ind w:firstLine="720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Катарбейского муниципального образования</w:t>
      </w:r>
    </w:p>
    <w:p w:rsidR="00BD588A" w:rsidRDefault="00BD588A" w:rsidP="00BD588A">
      <w:pPr>
        <w:jc w:val="center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BD588A" w:rsidRDefault="00BD588A" w:rsidP="00BD588A">
      <w:pPr>
        <w:jc w:val="center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1. Внести в Устав Катарбейского муниципального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образования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следующие изменения и дополнения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:</w:t>
      </w:r>
    </w:p>
    <w:p w:rsidR="00BD588A" w:rsidRDefault="00BD588A" w:rsidP="00BD588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D588A" w:rsidRDefault="00BD588A" w:rsidP="00BD588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6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6. Вопросы местного значения Поселения</w:t>
      </w:r>
    </w:p>
    <w:p w:rsidR="00BD588A" w:rsidRDefault="00BD588A" w:rsidP="00BD588A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соответствии с Федеральным законом к вопросам местного значения поселения относятся:</w:t>
      </w:r>
    </w:p>
    <w:p w:rsidR="00BD588A" w:rsidRDefault="00BD588A" w:rsidP="00BD588A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color w:val="000000"/>
          <w:sz w:val="26"/>
          <w:szCs w:val="26"/>
        </w:rPr>
        <w:t xml:space="preserve">составление и рассмотрение проекта бюджета поселения, утверждение и исполнение  бюджета поселения, осуществление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его исполнением, составление и утверждение отчёта об исполнении бюджета поселения.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организация в границах поселения электро-, тепл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</w:t>
      </w:r>
      <w:r>
        <w:rPr>
          <w:rFonts w:ascii="Times New Roman" w:hAnsi="Times New Roman"/>
          <w:color w:val="000000"/>
          <w:sz w:val="26"/>
          <w:szCs w:val="26"/>
        </w:rPr>
        <w:t xml:space="preserve">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законодательством Российской Федерации;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</w:t>
      </w:r>
      <w:r>
        <w:rPr>
          <w:rFonts w:ascii="Times New Roman" w:hAnsi="Times New Roman"/>
          <w:sz w:val="26"/>
          <w:szCs w:val="26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участие в предупреждении и ликвидации последствий чрезвычайных ситуаций в границах Поселения; 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обеспечение первичных мер пожарной безопасности в границах населенных пунктов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формирование архивных фондов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 участие в организации деятельности по сбору (в том числе раздельному сбору) транспортированию твердых коммунальных отходов;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устанавливающих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>
        <w:rPr>
          <w:rFonts w:ascii="Times New Roman" w:hAnsi="Times New Roman"/>
          <w:sz w:val="26"/>
          <w:szCs w:val="26"/>
        </w:rPr>
        <w:lastRenderedPageBreak/>
        <w:t>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sz w:val="26"/>
          <w:szCs w:val="26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</w:t>
      </w:r>
      <w:r>
        <w:rPr>
          <w:rFonts w:ascii="Times New Roman" w:hAnsi="Times New Roman"/>
          <w:color w:val="000000"/>
          <w:sz w:val="26"/>
          <w:szCs w:val="26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 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22) организация ритуальных услуг и содержание мест захоронения;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26) организация и осуществление мероприятий по работе с детьми и молодежью в Поселении;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27) </w:t>
      </w:r>
      <w:r>
        <w:rPr>
          <w:rFonts w:ascii="Times New Roman" w:hAnsi="Times New Roman"/>
          <w:color w:val="000000"/>
          <w:sz w:val="26"/>
          <w:szCs w:val="26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28) </w:t>
      </w:r>
      <w:r>
        <w:rPr>
          <w:rFonts w:ascii="Times New Roman" w:hAnsi="Times New Roman"/>
          <w:color w:val="000000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29) осуществление мер по противодействию коррупции в границах поселения; 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30) участие 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24 июля 2007 года N 221-ФЗ «О государственном кадастре недвижимости" в выполнении комплексных кадастровых работ»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D588A" w:rsidRDefault="00BD588A" w:rsidP="00BD588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D588A" w:rsidRDefault="00BD588A" w:rsidP="00BD588A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часть 1 статьи 7 дополнить пунктом 15 следующего содержания: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пункт 1 части 3 статьи 17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Конституции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часть 9 статьи 24 изложить в следующей редакции: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«9. Глава муниципального образования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6"/>
          <w:szCs w:val="26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>
        <w:rPr>
          <w:rFonts w:ascii="Times New Roman" w:hAnsi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 статье 27: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абзац 4 пункта 3 части 2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стаж муниципальной службы для назначения ежемесячной доплаты, указанной в </w:t>
      </w:r>
      <w:hyperlink r:id="rId9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абзаце четвертом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4 части 2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«4) </w:t>
      </w:r>
      <w:r>
        <w:rPr>
          <w:rFonts w:ascii="Times New Roman" w:hAnsi="Times New Roman"/>
          <w:bCs/>
          <w:sz w:val="26"/>
          <w:szCs w:val="26"/>
        </w:rPr>
        <w:t xml:space="preserve">единовременная выплата в размере месячной оплаты труда, </w:t>
      </w:r>
      <w:proofErr w:type="gramStart"/>
      <w:r>
        <w:rPr>
          <w:rFonts w:ascii="Times New Roman" w:hAnsi="Times New Roman"/>
          <w:sz w:val="26"/>
          <w:szCs w:val="26"/>
        </w:rPr>
        <w:t>осуществлявшему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BD588A" w:rsidRDefault="00BD588A" w:rsidP="00BD58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Указанная выплата не может быть установлена в случае прекращения полномочий указанного лица по основаниям, предусмотренным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пунктами 2.1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13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9 части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4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 xml:space="preserve"> статьи 36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5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частью 7.1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6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 xml:space="preserve"> статьи 40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7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частями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2 статьи 73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».;</w:t>
      </w:r>
      <w:proofErr w:type="gramEnd"/>
    </w:p>
    <w:p w:rsidR="00BD588A" w:rsidRDefault="00BD588A" w:rsidP="00BD58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статью 30 изложить в следующей редакции: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30. Исполнение обязанностей Главы Поселения в случае досрочного прекращения его полномочий или при его временном отсутствии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C7426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</w:t>
      </w:r>
      <w:r w:rsidRPr="00B269A7">
        <w:rPr>
          <w:rFonts w:ascii="Times New Roman" w:hAnsi="Times New Roman"/>
          <w:sz w:val="26"/>
          <w:szCs w:val="26"/>
        </w:rPr>
        <w:t>главный специалист</w:t>
      </w:r>
      <w:r w:rsidR="007C7426" w:rsidRPr="00B269A7">
        <w:rPr>
          <w:rFonts w:ascii="Times New Roman" w:hAnsi="Times New Roman"/>
          <w:sz w:val="26"/>
          <w:szCs w:val="26"/>
        </w:rPr>
        <w:t>, в отсутствии главного специалиста – специалист администрации</w:t>
      </w:r>
      <w:r w:rsidR="002730B6" w:rsidRPr="00B269A7">
        <w:rPr>
          <w:rFonts w:ascii="Times New Roman" w:hAnsi="Times New Roman"/>
          <w:sz w:val="26"/>
          <w:szCs w:val="26"/>
        </w:rPr>
        <w:t>.</w:t>
      </w:r>
      <w:r w:rsidRPr="00B269A7">
        <w:rPr>
          <w:rFonts w:ascii="Times New Roman" w:hAnsi="Times New Roman"/>
          <w:sz w:val="26"/>
          <w:szCs w:val="26"/>
        </w:rPr>
        <w:t xml:space="preserve"> 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bookmarkStart w:id="0" w:name="_GoBack"/>
      <w:proofErr w:type="gramStart"/>
      <w:r>
        <w:rPr>
          <w:rFonts w:ascii="Times New Roman" w:hAnsi="Times New Roman"/>
          <w:sz w:val="26"/>
          <w:szCs w:val="26"/>
        </w:rPr>
        <w:t xml:space="preserve">В период временного отсутствия Главы Поселения (в связи с отпуском, командировкой, болезнью) его полномочия исполняет </w:t>
      </w:r>
      <w:r w:rsidR="00B269A7" w:rsidRPr="00B269A7">
        <w:rPr>
          <w:rFonts w:ascii="Times New Roman" w:hAnsi="Times New Roman"/>
          <w:sz w:val="26"/>
          <w:szCs w:val="26"/>
        </w:rPr>
        <w:t xml:space="preserve">главный специалист, в отсутствии главного специалиста – специалист администрации </w:t>
      </w:r>
      <w:r>
        <w:rPr>
          <w:rFonts w:ascii="Times New Roman" w:hAnsi="Times New Roman"/>
          <w:sz w:val="26"/>
          <w:szCs w:val="26"/>
        </w:rPr>
        <w:t xml:space="preserve"> на основании распоряжения администрации,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актов Думы Поселения, кроме решений Думы Поселения об утверждении местного бюджета, кассовых, банковских документов</w:t>
      </w:r>
      <w:proofErr w:type="gramEnd"/>
      <w:r>
        <w:rPr>
          <w:rFonts w:ascii="Times New Roman" w:hAnsi="Times New Roman"/>
          <w:sz w:val="26"/>
          <w:szCs w:val="26"/>
        </w:rPr>
        <w:t>, распорядительных заявок, договоров, счетов к оплате, товарных накладных, реестров на оплату расходов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bookmarkEnd w:id="0"/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в части 7 статьи 38 слова «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hyperlink r:id="rId19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</w:t>
      </w:r>
      <w:r>
        <w:rPr>
          <w:rFonts w:ascii="Times New Roman" w:hAnsi="Times New Roman"/>
          <w:sz w:val="26"/>
          <w:szCs w:val="26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в части 1 статьи 45 второе предложение изложить в следующей редакции: </w:t>
      </w:r>
      <w:proofErr w:type="gramStart"/>
      <w:r>
        <w:rPr>
          <w:rFonts w:ascii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Думы о внесении изменений и в Устав муниципального образования, а также порядка участия граждан в его обсуждении 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законом, устава или закона Иркутской области в целях приведения Устава в соответствие с этими нормативными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правовыми актами</w:t>
      </w:r>
      <w:proofErr w:type="gramStart"/>
      <w:r>
        <w:rPr>
          <w:rFonts w:ascii="Times New Roman" w:hAnsi="Times New Roman"/>
          <w:sz w:val="26"/>
          <w:szCs w:val="26"/>
        </w:rPr>
        <w:t xml:space="preserve">.»;   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пункт 5 части 1 статьи 54 изложить в следующей редакции: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</w:t>
      </w:r>
      <w:proofErr w:type="gramStart"/>
      <w:r>
        <w:rPr>
          <w:rFonts w:ascii="Times New Roman" w:hAnsi="Times New Roman"/>
          <w:sz w:val="26"/>
          <w:szCs w:val="26"/>
        </w:rPr>
        <w:t>».;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части 3-14 статьи 73.1. исключить;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дополнить статьей 74.1. следующего содержания: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74.1. Ответственность Думы Поселения перед государством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 Думой Поселения принят нормативный правовой акт, противоречащий Конституции Российской Федерации, федеральным конституционным законам, </w:t>
      </w:r>
      <w:r>
        <w:rPr>
          <w:rFonts w:ascii="Times New Roman" w:hAnsi="Times New Roman"/>
          <w:sz w:val="26"/>
          <w:szCs w:val="26"/>
        </w:rPr>
        <w:lastRenderedPageBreak/>
        <w:t xml:space="preserve">федеральным законам, конституции (уставу), законам Иркутской области, уставу </w:t>
      </w:r>
      <w:proofErr w:type="spellStart"/>
      <w:r>
        <w:rPr>
          <w:rFonts w:ascii="Times New Roman" w:hAnsi="Times New Roman"/>
          <w:sz w:val="26"/>
          <w:szCs w:val="26"/>
        </w:rPr>
        <w:t>Замзорского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числе</w:t>
      </w:r>
      <w:proofErr w:type="gramEnd"/>
      <w:r>
        <w:rPr>
          <w:rFonts w:ascii="Times New Roman" w:hAnsi="Times New Roman"/>
          <w:sz w:val="26"/>
          <w:szCs w:val="26"/>
        </w:rPr>
        <w:t xml:space="preserve"> не отменила соответствующий нормативный правовой акт;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вновь избранная в правомочном составе Дума Поселения в течение трех месяцев подряд не проводила правомочного заседания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дополнить статьей 74.2. следующего содержания: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74.2. Ответственность главы муниципального образования перед государством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Ответственность Главы Поселения перед государством наступает в случае: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</w:t>
      </w:r>
      <w:proofErr w:type="spellStart"/>
      <w:r>
        <w:rPr>
          <w:rFonts w:ascii="Times New Roman" w:hAnsi="Times New Roman"/>
          <w:sz w:val="26"/>
          <w:szCs w:val="26"/>
        </w:rPr>
        <w:t>Замзорского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 суда;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>
        <w:rPr>
          <w:rFonts w:ascii="Times New Roman" w:hAnsi="Times New Roman"/>
          <w:sz w:val="26"/>
          <w:szCs w:val="26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hAnsi="Times New Roman"/>
          <w:sz w:val="26"/>
          <w:szCs w:val="26"/>
        </w:rPr>
        <w:t xml:space="preserve">.».   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Главе Катарбейского муниципального образования опубликовать муниципальный правовой акт Катарбейского муниципального после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BD588A" w:rsidRDefault="00BD588A" w:rsidP="00BD588A">
      <w:pPr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BD588A" w:rsidRDefault="00BD588A" w:rsidP="00BD588A">
      <w:pPr>
        <w:rPr>
          <w:rFonts w:ascii="Times New Roman" w:hAnsi="Times New Roman"/>
          <w:color w:val="000000"/>
          <w:sz w:val="26"/>
          <w:szCs w:val="26"/>
        </w:rPr>
      </w:pPr>
    </w:p>
    <w:p w:rsidR="00BD588A" w:rsidRDefault="00BD588A" w:rsidP="00BD588A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Катарбейского</w:t>
      </w:r>
    </w:p>
    <w:p w:rsidR="00BD588A" w:rsidRDefault="00BD588A" w:rsidP="00BD588A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                                </w:t>
      </w:r>
      <w:r w:rsidR="006A1871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А.А. Криворотов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rPr>
          <w:sz w:val="26"/>
          <w:szCs w:val="26"/>
        </w:rPr>
      </w:pPr>
    </w:p>
    <w:p w:rsidR="00BD588A" w:rsidRDefault="00BD588A" w:rsidP="00BD588A"/>
    <w:p w:rsidR="00BD588A" w:rsidRDefault="00BD588A" w:rsidP="00BD588A"/>
    <w:p w:rsidR="00BD588A" w:rsidRDefault="00BD588A" w:rsidP="00BD588A">
      <w:pPr>
        <w:jc w:val="both"/>
      </w:pPr>
    </w:p>
    <w:p w:rsidR="00BD588A" w:rsidRDefault="00BD588A" w:rsidP="00BD588A"/>
    <w:p w:rsidR="00BD588A" w:rsidRDefault="00BD588A" w:rsidP="00BD588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7032" w:rsidRDefault="00707032"/>
    <w:sectPr w:rsidR="007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B"/>
    <w:rsid w:val="002730B6"/>
    <w:rsid w:val="003610EB"/>
    <w:rsid w:val="006A1871"/>
    <w:rsid w:val="00707032"/>
    <w:rsid w:val="007C7426"/>
    <w:rsid w:val="00815F63"/>
    <w:rsid w:val="00B269A7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D476579CBCAA40A8C45EBDF8119764D39995F2D05DF3E735D33L0K1C" TargetMode="External"/><Relationship Id="rId13" Type="http://schemas.openxmlformats.org/officeDocument/2006/relationships/hyperlink" Target="consultantplus://offline/ref=E5B595C870C622B6864EEFDF1E73B2B923C6DB7417B92AFE04F0DAF69A8598C0F4D3A81E3BBE37C8X9m9I" TargetMode="External"/><Relationship Id="rId18" Type="http://schemas.openxmlformats.org/officeDocument/2006/relationships/hyperlink" Target="consultantplus://offline/ref=E5B595C870C622B6864EEFDF1E73B2B923C6DB7417B92AFE04F0DAF69A8598C0F4D3A81E3BBE34C7X9m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BF2E6A28CF58F5DAEA899C0A829FFDEF6DC21513B2731E7CB79BF694B267D" TargetMode="External"/><Relationship Id="rId12" Type="http://schemas.openxmlformats.org/officeDocument/2006/relationships/hyperlink" Target="consultantplus://offline/ref=E5B595C870C622B6864EEFDF1E73B2B923C6DB7417B92AFE04F0DAF69A8598C0F4D3A81E3BBE37C8X9mAI" TargetMode="External"/><Relationship Id="rId17" Type="http://schemas.openxmlformats.org/officeDocument/2006/relationships/hyperlink" Target="consultantplus://offline/ref=E5B595C870C622B6864EEFDF1E73B2B923C6DB7417B92AFE04F0DAF69A8598C0F4D3A81E3BBE34C6X9m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95C870C622B6864EEFDF1E73B2B923C6DB7417B92AFE04F0DAF69A8598C0F4D3A8193CXBm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84368917A7B0633A9078E7270515EB2577D1F21BA891B90AC501EC7A22B484933F36F2E63DGAH" TargetMode="External"/><Relationship Id="rId11" Type="http://schemas.openxmlformats.org/officeDocument/2006/relationships/hyperlink" Target="consultantplus://offline/ref=E5B595C870C622B6864EEFDF1E73B2B923C6DB7417B92AFE04F0DAF69A8598C0F4D3A81E3BBE37CBX9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95C870C622B6864EEFDF1E73B2B923C6DB7417B92AFE04F0DAF69A8598C0F4D3A8193CXBmDI" TargetMode="External"/><Relationship Id="rId10" Type="http://schemas.openxmlformats.org/officeDocument/2006/relationships/hyperlink" Target="consultantplus://offline/ref=E5B595C870C622B6864EEFDF1E73B2B923C6DB7417B92AFE04F0DAF69A8598C0F4D3A81E3BBF32CBX9m3I" TargetMode="External"/><Relationship Id="rId19" Type="http://schemas.openxmlformats.org/officeDocument/2006/relationships/hyperlink" Target="consultantplus://offline/ref=6C897327EB4C6232B158B581EEA0D5679377F03533715B01F5214A75A6CAb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8724E4EF78AE88F0937B12468B2F7882B5CC306BDAFCA5ACD1382BCD1DECDCEEA5A7B11E13BB9B852D6BAGFa1I" TargetMode="External"/><Relationship Id="rId14" Type="http://schemas.openxmlformats.org/officeDocument/2006/relationships/hyperlink" Target="consultantplus://offline/ref=E5B595C870C622B6864EEFDF1E73B2B923C6DB7417B92AFE04F0DAF69A8598C0F4D3A81E3BBF31C9X9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Катарбей2</dc:creator>
  <cp:lastModifiedBy>Катарбей2</cp:lastModifiedBy>
  <cp:revision>5</cp:revision>
  <cp:lastPrinted>2017-05-12T02:16:00Z</cp:lastPrinted>
  <dcterms:created xsi:type="dcterms:W3CDTF">2017-05-12T01:59:00Z</dcterms:created>
  <dcterms:modified xsi:type="dcterms:W3CDTF">2017-05-12T04:34:00Z</dcterms:modified>
</cp:coreProperties>
</file>