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96" w:rsidRPr="00B76596" w:rsidRDefault="00B76596" w:rsidP="00B76596">
      <w:pPr>
        <w:spacing w:after="120" w:line="540" w:lineRule="atLeast"/>
        <w:outlineLvl w:val="0"/>
        <w:rPr>
          <w:rFonts w:ascii="Georgia" w:eastAsia="Times New Roman" w:hAnsi="Georgia" w:cs="Arial"/>
          <w:b/>
          <w:bCs/>
          <w:color w:val="0A0A0A"/>
          <w:kern w:val="36"/>
          <w:sz w:val="42"/>
          <w:szCs w:val="42"/>
          <w:lang w:eastAsia="ru-RU"/>
        </w:rPr>
      </w:pPr>
      <w:r w:rsidRPr="00B76596">
        <w:rPr>
          <w:rFonts w:ascii="Georgia" w:eastAsia="Times New Roman" w:hAnsi="Georgia" w:cs="Arial"/>
          <w:b/>
          <w:bCs/>
          <w:color w:val="0A0A0A"/>
          <w:kern w:val="36"/>
          <w:sz w:val="42"/>
          <w:szCs w:val="42"/>
          <w:lang w:eastAsia="ru-RU"/>
        </w:rPr>
        <w:t>Какую поддержку получит малый и средний бизнес в 2023 году</w:t>
      </w:r>
    </w:p>
    <w:p w:rsidR="00B76596" w:rsidRPr="00B76596" w:rsidRDefault="00B76596" w:rsidP="00B76596">
      <w:pPr>
        <w:spacing w:after="240" w:line="42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Для развития субъектов малого и среднего предпринимательства, для оказания всесторонней помощи и поддержки российским предпринимателям принят и действует национальный проект «Малое и среднее предпринимательство и поддержка индивидуальной предпринимательской инициативы».</w:t>
      </w:r>
    </w:p>
    <w:p w:rsidR="00B76596" w:rsidRPr="00B76596" w:rsidRDefault="00B76596" w:rsidP="00B76596">
      <w:pPr>
        <w:spacing w:after="240" w:line="480" w:lineRule="atLeast"/>
        <w:outlineLvl w:val="1"/>
        <w:rPr>
          <w:rFonts w:ascii="Georgia" w:eastAsia="Times New Roman" w:hAnsi="Georgia" w:cs="Arial"/>
          <w:b/>
          <w:bCs/>
          <w:color w:val="0A0A0A"/>
          <w:sz w:val="36"/>
          <w:szCs w:val="36"/>
          <w:lang w:eastAsia="ru-RU"/>
        </w:rPr>
      </w:pPr>
      <w:bookmarkStart w:id="0" w:name="_GoBack"/>
      <w:bookmarkEnd w:id="0"/>
      <w:r w:rsidRPr="00B76596">
        <w:rPr>
          <w:rFonts w:ascii="Georgia" w:eastAsia="Times New Roman" w:hAnsi="Georgia" w:cs="Arial"/>
          <w:b/>
          <w:bCs/>
          <w:color w:val="0A0A0A"/>
          <w:sz w:val="36"/>
          <w:szCs w:val="36"/>
          <w:lang w:eastAsia="ru-RU"/>
        </w:rPr>
        <w:t>Кому государство помогает в рамках указанного нацпроекта</w:t>
      </w:r>
    </w:p>
    <w:p w:rsidR="00B76596" w:rsidRPr="00B76596" w:rsidRDefault="00B76596" w:rsidP="00B76596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самозанятым</w:t>
      </w:r>
      <w:proofErr w:type="spell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гражданам;</w:t>
      </w:r>
    </w:p>
    <w:p w:rsidR="00B76596" w:rsidRPr="00B76596" w:rsidRDefault="00B76596" w:rsidP="00B76596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начинающим предпринимателям;</w:t>
      </w:r>
    </w:p>
    <w:p w:rsidR="00B76596" w:rsidRPr="00B76596" w:rsidRDefault="00B76596" w:rsidP="00B76596">
      <w:pPr>
        <w:numPr>
          <w:ilvl w:val="0"/>
          <w:numId w:val="1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растущим субъектам МСП, нацеленным на дальнейшее развитие.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Механизм нацпроекта устроен так, чтобы каждый из перечисленных субъектов МСП смог бы получить меры поддержки и услуги, которые необходимы на определенной стадии развития его бизнеса.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Нацпроект «Малое и среднее предпринимательство и поддержка индивидуальной предпринимательской инициативы» развивается в настоящее время, о чем свидетельствует принятие нашими законодателями конкретных мер для его реализации, как за прошедшее время, так и в нынешнем 2023 году.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Предлагаем рассмотреть </w:t>
      </w:r>
      <w:r w:rsidRPr="00B76596">
        <w:rPr>
          <w:rFonts w:ascii="Arial" w:eastAsia="Times New Roman" w:hAnsi="Arial" w:cs="Arial"/>
          <w:b/>
          <w:bCs/>
          <w:color w:val="0A0A0A"/>
          <w:sz w:val="27"/>
          <w:szCs w:val="27"/>
          <w:lang w:eastAsia="ru-RU"/>
        </w:rPr>
        <w:t>конкретные меры для поддержки</w:t>
      </w: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МСП в рамках указанного нацпроекта, которые были приняты ранее, но продолжат действовать в 2023 году:</w:t>
      </w:r>
    </w:p>
    <w:p w:rsidR="00B76596" w:rsidRPr="00B76596" w:rsidRDefault="00B76596" w:rsidP="00B76596">
      <w:pPr>
        <w:numPr>
          <w:ilvl w:val="0"/>
          <w:numId w:val="2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Продолжат работу созданные в субъектах Российской Федерации Центры «Мой бизнес», которые окажут и </w:t>
      </w:r>
      <w:r w:rsidRPr="00B76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консультационную поддержку, и даже маркетинговые услуги</w:t>
      </w: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 также услуги по популяризации продукции, тренинги, обучение, семинары и пр.</w:t>
      </w:r>
    </w:p>
    <w:p w:rsidR="00B76596" w:rsidRPr="00B76596" w:rsidRDefault="00B76596" w:rsidP="00B76596">
      <w:pPr>
        <w:spacing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Полная информация о деятельности Центров «Мой бизнес» – на портале «</w:t>
      </w:r>
      <w:hyperlink r:id="rId6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Мой бизнес</w:t>
        </w:r>
      </w:hyperlink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» в разделе «Инфраструктура МСП».</w:t>
      </w:r>
    </w:p>
    <w:p w:rsidR="00B76596" w:rsidRPr="00B76596" w:rsidRDefault="00B76596" w:rsidP="00B76596">
      <w:pPr>
        <w:numPr>
          <w:ilvl w:val="0"/>
          <w:numId w:val="3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Субъекты МСП могут воспользоваться </w:t>
      </w:r>
      <w:r w:rsidRPr="00B76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заемными средствами по сниженным ставкам</w:t>
      </w: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 также в соответствии со статьей 7 </w:t>
      </w:r>
      <w:hyperlink r:id="rId7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 xml:space="preserve">закона </w:t>
        </w:r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lastRenderedPageBreak/>
          <w:t>от 03.04.2020 № 106-ФЗ</w:t>
        </w:r>
      </w:hyperlink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 внесении изменений в Федеральный закон</w:t>
      </w:r>
      <w:proofErr w:type="gram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„О</w:t>
      </w:r>
      <w:proofErr w:type="gram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Центральном банке Российской Федерации (Банке России)“ и отдельные законодательные акты Российской Федерации в части особенностей изменения условий кредитного договора, договора займа» субъекты МСП могут обратиться в кредитную организацию для получения «кредитных каникул» (</w:t>
      </w:r>
      <w:r w:rsidRPr="00B76596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отсрочка по возврату кредита или уменьшение размера кредитных платежей в течение льготного периода</w:t>
      </w: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При этом указанная мера поддержки распространяется на субъектов МСП, заключивших кредитный договор с кредитной организацией до 1 марта 2022 и осуществляющих деятельность в отраслях, определенных </w:t>
      </w:r>
      <w:hyperlink r:id="rId8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постановлением Правительства от 10.03. 2022 № 337</w:t>
        </w:r>
      </w:hyperlink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«Об утверждении перечня отраслей, в которых осуществляет деятельность заемщик, указанный в части 1 статьи 7 </w:t>
      </w:r>
      <w:hyperlink r:id="rId9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закона</w:t>
        </w:r>
        <w:proofErr w:type="gramStart"/>
      </w:hyperlink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„О</w:t>
      </w:r>
      <w:proofErr w:type="gramEnd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 внесении изменений в Федеральный закон „О Центральном банке Российской Федерации (Банке России)“ и отдельные законодательные акты Российской Федерации в части особенностей изменения условий кредитного договора, договора займа“ и о признании </w:t>
      </w:r>
      <w:proofErr w:type="gramStart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утратившими</w:t>
      </w:r>
      <w:proofErr w:type="gramEnd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силу отдельных положений некоторых актов Правительства Российской Федерации».</w:t>
      </w:r>
    </w:p>
    <w:p w:rsidR="00B76596" w:rsidRPr="00B76596" w:rsidRDefault="00245330" w:rsidP="00B76596">
      <w:pPr>
        <w:numPr>
          <w:ilvl w:val="0"/>
          <w:numId w:val="4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0" w:history="1">
        <w:r w:rsidR="00B76596"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Постановлением Правительства от 28.03. 2022 № 497</w:t>
        </w:r>
      </w:hyperlink>
      <w:r w:rsidR="00B76596"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 введении моратория на возбуждение дел о банкротстве по заявлениям, подаваемым кредиторами».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proofErr w:type="gramStart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 1 апреля 2022 года введен и </w:t>
      </w:r>
      <w:r w:rsidRPr="00B76596">
        <w:rPr>
          <w:rFonts w:ascii="Arial" w:eastAsia="Times New Roman" w:hAnsi="Arial" w:cs="Arial"/>
          <w:b/>
          <w:bCs/>
          <w:color w:val="0A0A0A"/>
          <w:sz w:val="27"/>
          <w:szCs w:val="27"/>
          <w:lang w:eastAsia="ru-RU"/>
        </w:rPr>
        <w:t>продлен до апреля 2023 года мораторий на возбуждение дел о банкротстве</w:t>
      </w: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по заявлениям, подаваемым кредиторами, в отношении юридических лиц и граждан, в том числе индивидуальных предпринимателей (</w:t>
      </w:r>
      <w:r w:rsidRPr="00B76596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>за исключением должников, являющихся застройщиками многоквартирных домов и (или) иных объектов недвижимости, включенных в соответствии со статьей 23.1 </w:t>
      </w:r>
      <w:hyperlink r:id="rId11" w:history="1">
        <w:r w:rsidRPr="00B76596">
          <w:rPr>
            <w:rFonts w:ascii="Arial" w:eastAsia="Times New Roman" w:hAnsi="Arial" w:cs="Arial"/>
            <w:i/>
            <w:iCs/>
            <w:color w:val="316FEE"/>
            <w:sz w:val="27"/>
            <w:szCs w:val="27"/>
            <w:bdr w:val="none" w:sz="0" w:space="0" w:color="auto" w:frame="1"/>
            <w:lang w:eastAsia="ru-RU"/>
          </w:rPr>
          <w:t>закона от 30.12.2004 № 214-ФЗ</w:t>
        </w:r>
      </w:hyperlink>
      <w:r w:rsidRPr="00B76596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> «Об участии в долевом строительстве</w:t>
      </w:r>
      <w:proofErr w:type="gramEnd"/>
      <w:r w:rsidRPr="00B76596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 xml:space="preserve"> многоквартирных домов и иных объектов недвижимости и о внесении изменений в некоторые законодательные акты Российской Федерации» в единый реестр проблемных объектов на дату вступления в силу постановления</w:t>
      </w: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).</w:t>
      </w:r>
    </w:p>
    <w:p w:rsidR="00B76596" w:rsidRPr="00B76596" w:rsidRDefault="00B76596" w:rsidP="00B76596">
      <w:pPr>
        <w:numPr>
          <w:ilvl w:val="0"/>
          <w:numId w:val="5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Для того</w:t>
      </w:r>
      <w:proofErr w:type="gram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proofErr w:type="gram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чтобы снизить налоговую нагрузку на субъекты МСП, были приняты многочисленные меры в соответствии с </w:t>
      </w:r>
      <w:hyperlink r:id="rId12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законом от 26 марта 2022 № 67-ФЗ</w:t>
        </w:r>
      </w:hyperlink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«О внесении изменений в части первую и вторую Налогового кодекса Российской Федерации и статью 2 Федерального закона «О внесении изменений в часть вторую Налогового кодекса Российской Федерации», в числе которых на 1 января 2022 была </w:t>
      </w:r>
      <w:r w:rsidRPr="00B76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зафиксирована кадастровая стоимость недвижимого имущества</w:t>
      </w: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gram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применяемая</w:t>
      </w:r>
      <w:proofErr w:type="gram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исчисления налога на имущество организаций, налога на имущество физических лиц и земельного налога за 2023 год.</w:t>
      </w:r>
    </w:p>
    <w:p w:rsidR="00B76596" w:rsidRPr="00B76596" w:rsidRDefault="00B76596" w:rsidP="00B76596">
      <w:pPr>
        <w:numPr>
          <w:ilvl w:val="0"/>
          <w:numId w:val="5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Продлены полномочия субъектов Российской Федерации по установлению </w:t>
      </w:r>
      <w:r w:rsidRPr="00B7659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«налоговых каникул» для новых ИП</w:t>
      </w: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 УСН или ПСН еще на год по сравнению с ранее установленным сроком – теперь до 1 января 2025 года.</w:t>
      </w:r>
      <w:proofErr w:type="gramEnd"/>
    </w:p>
    <w:p w:rsidR="00B76596" w:rsidRPr="00B76596" w:rsidRDefault="00B76596" w:rsidP="00B76596">
      <w:pPr>
        <w:spacing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proofErr w:type="gramStart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В 2022 – 2023 годах предоставлено право на заявительный порядок возмещения НДС без банковской гарантии всем организациям (</w:t>
      </w:r>
      <w:r w:rsidRPr="00B76596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>кроме находящихся в процессе реорганизации, ликвидации или банкротства</w:t>
      </w: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) в сумме, не превышающей сумму налогов и страховых взносов, уплаченную за предшествующий год.</w:t>
      </w:r>
      <w:proofErr w:type="gramEnd"/>
    </w:p>
    <w:p w:rsidR="00B76596" w:rsidRPr="00B76596" w:rsidRDefault="00B76596" w:rsidP="00B76596">
      <w:pPr>
        <w:numPr>
          <w:ilvl w:val="0"/>
          <w:numId w:val="6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тестовом режиме в открытом доступе запущена цифровая платформа для </w:t>
      </w:r>
      <w:hyperlink r:id="rId13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субъектов МСП</w:t>
        </w:r>
      </w:hyperlink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разработанная АО «Корпорация «МСП» совместно с Минэкономразвития в рамках федерального проекта «Создание Цифровой платформы с механизмом адресного подбора и возможностью дистанционного получения мер поддержки и специальных сервисов субъектами малого и среднего предпринимательства и </w:t>
      </w:r>
      <w:proofErr w:type="spell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самозанятыми</w:t>
      </w:r>
      <w:proofErr w:type="spell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гражданами», предусмотренного паспортом Национального проекта «Малое и среднее предпринимательство и поддержка индивидуальной предпринимательской инициативы».</w:t>
      </w:r>
      <w:proofErr w:type="gramEnd"/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Работа платформы направлена на получение наиболее востребованных для развития бизнеса государственных и коммерческих сервисов, услуг и мер поддержки.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Учитывая, что </w:t>
      </w:r>
      <w:proofErr w:type="spellStart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санкционное</w:t>
      </w:r>
      <w:proofErr w:type="spellEnd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давление на Россию не прекращается, Правительством РФ реализуется комплекс мер, направленных </w:t>
      </w: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 xml:space="preserve">на улучшение условий ведения предпринимательской деятельности в ситуации внешнего </w:t>
      </w:r>
      <w:proofErr w:type="spellStart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санкционного</w:t>
      </w:r>
      <w:proofErr w:type="spellEnd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давления.</w:t>
      </w:r>
    </w:p>
    <w:p w:rsidR="00B76596" w:rsidRPr="00B76596" w:rsidRDefault="00B76596" w:rsidP="00B76596">
      <w:pPr>
        <w:spacing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На мастер-классе по </w:t>
      </w:r>
      <w:hyperlink r:id="rId14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«Грантам и субсидиям»</w:t>
        </w:r>
      </w:hyperlink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расскажем подробно о государственных мерах поддержки.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>Новые меры для поддержки МСП в рамках указанного нацпроекта, которые начнут действовать в 2023 году.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1. Мораторий на плановые неналоговые проверки продлен до 31 декабря 2023 года.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Исключения: указанный мораторий не распространяется на внеплановые и налоговые проверки, например, если было выявлено нарушение законодательства.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2. Новые права участников соглашения о защите и поощрении капиталовложений (СЗПК).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Участники СЗПК при расчете налога на имущество смогут применить налоговый вычет в порядке и на условиях, которые предусмотрены </w:t>
      </w:r>
      <w:hyperlink r:id="rId15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ст. 382.1 НК</w:t>
        </w:r>
      </w:hyperlink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с 1 января 2023 года.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color w:val="0A0A0A"/>
          <w:sz w:val="27"/>
          <w:szCs w:val="27"/>
          <w:lang w:eastAsia="ru-RU"/>
        </w:rPr>
        <w:t xml:space="preserve">От налога на имущество полностью </w:t>
      </w:r>
      <w:proofErr w:type="gramStart"/>
      <w:r w:rsidRPr="00B76596">
        <w:rPr>
          <w:rFonts w:ascii="Arial" w:eastAsia="Times New Roman" w:hAnsi="Arial" w:cs="Arial"/>
          <w:b/>
          <w:bCs/>
          <w:color w:val="0A0A0A"/>
          <w:sz w:val="27"/>
          <w:szCs w:val="27"/>
          <w:lang w:eastAsia="ru-RU"/>
        </w:rPr>
        <w:t>освобождены</w:t>
      </w:r>
      <w:proofErr w:type="gramEnd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следующие СМП:</w:t>
      </w:r>
    </w:p>
    <w:p w:rsidR="00B76596" w:rsidRPr="00B76596" w:rsidRDefault="00B76596" w:rsidP="00B76596">
      <w:pPr>
        <w:numPr>
          <w:ilvl w:val="0"/>
          <w:numId w:val="7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объекты, налоговая база по которым определяется как их кадастровая стоимость (это только для юридических лиц);</w:t>
      </w:r>
    </w:p>
    <w:p w:rsidR="00B76596" w:rsidRPr="00B76596" w:rsidRDefault="00B76596" w:rsidP="00B76596">
      <w:pPr>
        <w:numPr>
          <w:ilvl w:val="0"/>
          <w:numId w:val="7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ИП – объекты торгово-офисного назначения, внесенные в перечень с учетом особенностей, предусмотренных </w:t>
      </w:r>
      <w:hyperlink r:id="rId16" w:anchor="p_27293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пунктом 10 статьи 378.2 НК</w:t>
        </w:r>
      </w:hyperlink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3. Перерасчет и новый учет некоторых видов налогов.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Например, если иностранный кредитор простил долг, то эти денежные средства можно не учитывать при расчете налога на прибыль.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4. Льготное кредитование для субъектов МСП.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В этой категории принято много мер, поэтому выделим основные и универсальные:</w:t>
      </w:r>
    </w:p>
    <w:p w:rsidR="00B76596" w:rsidRPr="00B76596" w:rsidRDefault="00B76596" w:rsidP="00B76596">
      <w:pPr>
        <w:numPr>
          <w:ilvl w:val="0"/>
          <w:numId w:val="8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предпринимателей, которых мобилизовали для участия в СВО, продлены кредитные каникулы на кредиты и займы, которые они </w:t>
      </w: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получили до </w:t>
      </w:r>
      <w:proofErr w:type="spell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мобилизации</w:t>
      </w:r>
      <w:proofErr w:type="gram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.П</w:t>
      </w:r>
      <w:proofErr w:type="gram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</w:t>
      </w:r>
      <w:proofErr w:type="spell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этом обязательства таких предпринимателей будут </w:t>
      </w:r>
      <w:proofErr w:type="spell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приостановленыдо</w:t>
      </w:r>
      <w:proofErr w:type="spell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окончания прохождения военной службы.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Данной льготой могут воспользоваться все категории мобилизованных: от заключивших контракт до добровольцев, а также </w:t>
      </w:r>
      <w:proofErr w:type="gramStart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-н</w:t>
      </w:r>
      <w:proofErr w:type="gramEnd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а членов их семей.</w:t>
      </w:r>
    </w:p>
    <w:p w:rsidR="00B76596" w:rsidRPr="00B76596" w:rsidRDefault="00B76596" w:rsidP="00B76596">
      <w:pPr>
        <w:numPr>
          <w:ilvl w:val="0"/>
          <w:numId w:val="9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Объединенная программа льготного кредитования для МСП в 2023 году. Субъекты МСП вправе получить кредиты под 2,5 и 4% на перестройку и развитие производства, для закупки оборудования, запуска новых производств.</w:t>
      </w:r>
    </w:p>
    <w:p w:rsidR="00B76596" w:rsidRPr="00B76596" w:rsidRDefault="00B76596" w:rsidP="00B76596">
      <w:pPr>
        <w:numPr>
          <w:ilvl w:val="0"/>
          <w:numId w:val="9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Программа стимулирования кредитования субъектов МСП, в соответствии с которой субъекты МСП </w:t>
      </w:r>
      <w:proofErr w:type="spell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вправеполучить</w:t>
      </w:r>
      <w:proofErr w:type="spell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кредит в размере от 3 </w:t>
      </w:r>
      <w:proofErr w:type="gramStart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млн</w:t>
      </w:r>
      <w:proofErr w:type="gramEnd"/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 1 млрд рублей на срок до трех лет.</w:t>
      </w:r>
    </w:p>
    <w:p w:rsidR="00B76596" w:rsidRPr="00B76596" w:rsidRDefault="00B76596" w:rsidP="00B76596">
      <w:pPr>
        <w:numPr>
          <w:ilvl w:val="0"/>
          <w:numId w:val="9"/>
        </w:numPr>
        <w:spacing w:after="0" w:line="390" w:lineRule="atLeast"/>
        <w:ind w:left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Льготный кредит «1764». Эта программа действовала и ранее. Ее продлили на 2023 год. Льготный кредит «1764» по ставке до 8,5% годовых выдается компаниям на приобретение, создание или пополнение ОС в сфере бытовых услуг, общепита, торговли, сельского хозяйства, обрабатывающего производства, строительства, транспортировки и хранения, утилизации отходов, производства и распределения электроэнергии, газа и воды, туризма, образования и здравоохранения.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5. Возмещение НДС без банковской гарантии или поручительства</w:t>
      </w: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в размере, который не превышает сумму налогов и взносов за предыдущий год.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6. С 1 июля 2022 года блокировка счета ФНС возможна не менее</w:t>
      </w:r>
      <w:proofErr w:type="gramStart"/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,</w:t>
      </w:r>
      <w:proofErr w:type="gramEnd"/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 xml:space="preserve"> чем через две недели</w:t>
      </w: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 с момента направления ФНС поручения о списании недоимки в банк (</w:t>
      </w:r>
      <w:r w:rsidRPr="00B76596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>см. </w:t>
      </w:r>
      <w:hyperlink r:id="rId17" w:history="1">
        <w:r w:rsidRPr="00B76596">
          <w:rPr>
            <w:rFonts w:ascii="Arial" w:eastAsia="Times New Roman" w:hAnsi="Arial" w:cs="Arial"/>
            <w:i/>
            <w:iCs/>
            <w:color w:val="316FEE"/>
            <w:sz w:val="27"/>
            <w:szCs w:val="27"/>
            <w:bdr w:val="none" w:sz="0" w:space="0" w:color="auto" w:frame="1"/>
            <w:lang w:eastAsia="ru-RU"/>
          </w:rPr>
          <w:t>письмо ФНС от 31.05.2022 № ЕД-26-8/10</w:t>
        </w:r>
      </w:hyperlink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).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 xml:space="preserve">7. </w:t>
      </w:r>
      <w:proofErr w:type="gramStart"/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С 1 января 2023 года компании или ИП не будут штрафовать, если они подали уточненную налоговую декларацию с опозданием</w:t>
      </w: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, но на едином налоговом счете есть деньги, чтобы оплатить налоги и пени (</w:t>
      </w:r>
      <w:r w:rsidRPr="00B76596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>подп. 38 п. 10 ст. 1 </w:t>
      </w:r>
      <w:hyperlink r:id="rId18" w:history="1">
        <w:r w:rsidRPr="00B76596">
          <w:rPr>
            <w:rFonts w:ascii="Arial" w:eastAsia="Times New Roman" w:hAnsi="Arial" w:cs="Arial"/>
            <w:i/>
            <w:iCs/>
            <w:color w:val="316FEE"/>
            <w:sz w:val="27"/>
            <w:szCs w:val="27"/>
            <w:bdr w:val="none" w:sz="0" w:space="0" w:color="auto" w:frame="1"/>
            <w:lang w:eastAsia="ru-RU"/>
          </w:rPr>
          <w:t>закона от 14.07.2022 № 263-ФЗ</w:t>
        </w:r>
      </w:hyperlink>
      <w:r w:rsidRPr="00B76596">
        <w:rPr>
          <w:rFonts w:ascii="Arial" w:eastAsia="Times New Roman" w:hAnsi="Arial" w:cs="Arial"/>
          <w:i/>
          <w:iCs/>
          <w:color w:val="0A0A0A"/>
          <w:sz w:val="27"/>
          <w:szCs w:val="27"/>
          <w:lang w:eastAsia="ru-RU"/>
        </w:rPr>
        <w:t> «О внесении изменений в части первую и вторую Налогового кодекса Российской Федерации»</w:t>
      </w: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).</w:t>
      </w:r>
      <w:proofErr w:type="gramEnd"/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lastRenderedPageBreak/>
        <w:t>8. Неустойка начисляется с 31 дня просрочки</w:t>
      </w:r>
    </w:p>
    <w:p w:rsidR="00B76596" w:rsidRPr="00B76596" w:rsidRDefault="00B76596" w:rsidP="00B76596">
      <w:pPr>
        <w:spacing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До конца 2023 года пени по налогам продолжат начислять по 1/300 ставки ЦБ за весь период. Ранее с 31 дня просрочки неустойку нужно было платить по 1/150 ставки ЦБ за день. Льготы действует только для </w:t>
      </w:r>
      <w:proofErr w:type="spellStart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юрлиц</w:t>
      </w:r>
      <w:proofErr w:type="spellEnd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, на ИП изменения не распространяются.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9. Комиссия за использование СБП.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Минфин принял решение выделить в 2023 году 250 </w:t>
      </w:r>
      <w:proofErr w:type="gramStart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млн</w:t>
      </w:r>
      <w:proofErr w:type="gramEnd"/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рублей на компенсацию расходов малому бизнесу на использование системы быстрых платежей.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Для возврата суммы комиссий компания или ИП должны быть в Едином реестре субъектов малого и среднего предпринимательства. Выплаты поступают ежемесячно на расчетный счет компании или ИП. При этом не нужно писать заявление на возврат или предоставлять отчетность.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b/>
          <w:bCs/>
          <w:i/>
          <w:iCs/>
          <w:color w:val="0A0A0A"/>
          <w:sz w:val="27"/>
          <w:szCs w:val="27"/>
          <w:lang w:eastAsia="ru-RU"/>
        </w:rPr>
        <w:t>10. Упрощенная выдача лицензий.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До 1 марта 2023 года продлен эксперимент по упрощенной выдаче лицензий и разрешений.</w:t>
      </w:r>
    </w:p>
    <w:p w:rsidR="00B76596" w:rsidRPr="00B76596" w:rsidRDefault="00B76596" w:rsidP="00B76596">
      <w:pPr>
        <w:spacing w:before="240" w:after="240" w:line="390" w:lineRule="atLeast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Более глубокие знания об особенностях и тонкостях работы с нацпроектами вы сможете получить, пройдя авторский мастер-класс для юристов и бухгалтеров нового поколения в Академии правовых и финансовых советников «</w:t>
      </w:r>
      <w:hyperlink r:id="rId19" w:history="1">
        <w:r w:rsidRPr="00B76596">
          <w:rPr>
            <w:rFonts w:ascii="Arial" w:eastAsia="Times New Roman" w:hAnsi="Arial" w:cs="Arial"/>
            <w:color w:val="316FEE"/>
            <w:sz w:val="27"/>
            <w:szCs w:val="27"/>
            <w:u w:val="single"/>
            <w:bdr w:val="none" w:sz="0" w:space="0" w:color="auto" w:frame="1"/>
            <w:lang w:eastAsia="ru-RU"/>
          </w:rPr>
          <w:t>Правовой советник по грантам</w:t>
        </w:r>
      </w:hyperlink>
      <w:r w:rsidRPr="00B76596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».</w:t>
      </w:r>
    </w:p>
    <w:p w:rsidR="00D55BA0" w:rsidRDefault="00245330"/>
    <w:sectPr w:rsidR="00D5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3F8"/>
    <w:multiLevelType w:val="multilevel"/>
    <w:tmpl w:val="4554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E4358"/>
    <w:multiLevelType w:val="multilevel"/>
    <w:tmpl w:val="9796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D370A"/>
    <w:multiLevelType w:val="multilevel"/>
    <w:tmpl w:val="848A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7338E"/>
    <w:multiLevelType w:val="multilevel"/>
    <w:tmpl w:val="F5F0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06F88"/>
    <w:multiLevelType w:val="multilevel"/>
    <w:tmpl w:val="ECEA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C30FF8"/>
    <w:multiLevelType w:val="multilevel"/>
    <w:tmpl w:val="9A5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A1D62"/>
    <w:multiLevelType w:val="multilevel"/>
    <w:tmpl w:val="CE16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70F07"/>
    <w:multiLevelType w:val="multilevel"/>
    <w:tmpl w:val="50B4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967F5"/>
    <w:multiLevelType w:val="multilevel"/>
    <w:tmpl w:val="C8C6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6E"/>
    <w:rsid w:val="00245330"/>
    <w:rsid w:val="0040516E"/>
    <w:rsid w:val="00B45305"/>
    <w:rsid w:val="00B76596"/>
    <w:rsid w:val="00BE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resume">
    <w:name w:val="article__resume"/>
    <w:basedOn w:val="a"/>
    <w:rsid w:val="00B7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596"/>
    <w:rPr>
      <w:color w:val="0000FF"/>
      <w:u w:val="single"/>
    </w:rPr>
  </w:style>
  <w:style w:type="character" w:customStyle="1" w:styleId="comments-buttonlabel">
    <w:name w:val="comments-button__label"/>
    <w:basedOn w:val="a0"/>
    <w:rsid w:val="00B76596"/>
  </w:style>
  <w:style w:type="character" w:customStyle="1" w:styleId="favoritenumber">
    <w:name w:val="favorite__number"/>
    <w:basedOn w:val="a0"/>
    <w:rsid w:val="00B76596"/>
  </w:style>
  <w:style w:type="character" w:customStyle="1" w:styleId="visually-hidden">
    <w:name w:val="visually-hidden"/>
    <w:basedOn w:val="a0"/>
    <w:rsid w:val="00B76596"/>
  </w:style>
  <w:style w:type="character" w:customStyle="1" w:styleId="core-count-format">
    <w:name w:val="core-count-format"/>
    <w:basedOn w:val="a0"/>
    <w:rsid w:val="00B76596"/>
  </w:style>
  <w:style w:type="paragraph" w:styleId="a4">
    <w:name w:val="Normal (Web)"/>
    <w:basedOn w:val="a"/>
    <w:uiPriority w:val="99"/>
    <w:semiHidden/>
    <w:unhideWhenUsed/>
    <w:rsid w:val="00B7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6596"/>
    <w:rPr>
      <w:b/>
      <w:bCs/>
    </w:rPr>
  </w:style>
  <w:style w:type="character" w:styleId="a6">
    <w:name w:val="Emphasis"/>
    <w:basedOn w:val="a0"/>
    <w:uiPriority w:val="20"/>
    <w:qFormat/>
    <w:rsid w:val="00B765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6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6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resume">
    <w:name w:val="article__resume"/>
    <w:basedOn w:val="a"/>
    <w:rsid w:val="00B7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6596"/>
    <w:rPr>
      <w:color w:val="0000FF"/>
      <w:u w:val="single"/>
    </w:rPr>
  </w:style>
  <w:style w:type="character" w:customStyle="1" w:styleId="comments-buttonlabel">
    <w:name w:val="comments-button__label"/>
    <w:basedOn w:val="a0"/>
    <w:rsid w:val="00B76596"/>
  </w:style>
  <w:style w:type="character" w:customStyle="1" w:styleId="favoritenumber">
    <w:name w:val="favorite__number"/>
    <w:basedOn w:val="a0"/>
    <w:rsid w:val="00B76596"/>
  </w:style>
  <w:style w:type="character" w:customStyle="1" w:styleId="visually-hidden">
    <w:name w:val="visually-hidden"/>
    <w:basedOn w:val="a0"/>
    <w:rsid w:val="00B76596"/>
  </w:style>
  <w:style w:type="character" w:customStyle="1" w:styleId="core-count-format">
    <w:name w:val="core-count-format"/>
    <w:basedOn w:val="a0"/>
    <w:rsid w:val="00B76596"/>
  </w:style>
  <w:style w:type="paragraph" w:styleId="a4">
    <w:name w:val="Normal (Web)"/>
    <w:basedOn w:val="a"/>
    <w:uiPriority w:val="99"/>
    <w:semiHidden/>
    <w:unhideWhenUsed/>
    <w:rsid w:val="00B7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6596"/>
    <w:rPr>
      <w:b/>
      <w:bCs/>
    </w:rPr>
  </w:style>
  <w:style w:type="character" w:styleId="a6">
    <w:name w:val="Emphasis"/>
    <w:basedOn w:val="a0"/>
    <w:uiPriority w:val="20"/>
    <w:qFormat/>
    <w:rsid w:val="00B765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5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617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60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3889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545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35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rk.ru/doc/558805/" TargetMode="External"/><Relationship Id="rId13" Type="http://schemas.openxmlformats.org/officeDocument/2006/relationships/hyperlink" Target="https://xn--l1agf.xn--p1ai/" TargetMode="External"/><Relationship Id="rId18" Type="http://schemas.openxmlformats.org/officeDocument/2006/relationships/hyperlink" Target="https://www.klerk.ru/doc/56386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klerk.ru/doc/565422/" TargetMode="External"/><Relationship Id="rId12" Type="http://schemas.openxmlformats.org/officeDocument/2006/relationships/hyperlink" Target="https://www.klerk.ru/doc/565514/" TargetMode="External"/><Relationship Id="rId17" Type="http://schemas.openxmlformats.org/officeDocument/2006/relationships/hyperlink" Target="https://www.klerk.ru/doc/5664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lerk.ru/cdoc/nalogovyj-kodeks-rossijskoj-federacii-nk-rf/stata-3782-osobennosti-opredelenia-nalogovoj-bazy-iscislenia-i-uplaty-naloga-v-otnosenii-otdelnyh-obektov-nedvizimogo-imusestv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xn--90aifddrld7a.xn--p1ai/centers" TargetMode="External"/><Relationship Id="rId11" Type="http://schemas.openxmlformats.org/officeDocument/2006/relationships/hyperlink" Target="https://www.klerk.ru/doc/56649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lerk.ru/cdoc/nalogovyj-kodeks-rossijskoj-federacii-nk-rf/stata-3821-nalogovyj-vycet-dla-nalogoplatelsikov-ucastnikov-soglasenij-o-zasite-i-poosrenii-kapitalovlozenij/" TargetMode="External"/><Relationship Id="rId10" Type="http://schemas.openxmlformats.org/officeDocument/2006/relationships/hyperlink" Target="https://www.klerk.ru/doc/565688/" TargetMode="External"/><Relationship Id="rId19" Type="http://schemas.openxmlformats.org/officeDocument/2006/relationships/hyperlink" Target="https://diamond-mine.ru/grant/register/new?utm_source=klerk&amp;utm_medium=statya16.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lerk.ru/doc/565422/" TargetMode="External"/><Relationship Id="rId14" Type="http://schemas.openxmlformats.org/officeDocument/2006/relationships/hyperlink" Target="https://diamond-mine.ru/grant/register/new?utm_source=klerk&amp;utm_medium=statya16.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1615</Words>
  <Characters>9211</Characters>
  <Application>Microsoft Office Word</Application>
  <DocSecurity>0</DocSecurity>
  <Lines>76</Lines>
  <Paragraphs>21</Paragraphs>
  <ScaleCrop>false</ScaleCrop>
  <Company/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2023-03-27T08:34:00Z</dcterms:created>
  <dcterms:modified xsi:type="dcterms:W3CDTF">2023-03-28T06:45:00Z</dcterms:modified>
</cp:coreProperties>
</file>